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01235" w14:textId="6592209D" w:rsidR="00A932D0" w:rsidRPr="001539D4" w:rsidRDefault="00A932D0" w:rsidP="00A932D0">
      <w:pPr>
        <w:rPr>
          <w:b/>
          <w:bCs/>
        </w:rPr>
      </w:pPr>
      <w:r w:rsidRPr="001539D4">
        <w:rPr>
          <w:b/>
          <w:bCs/>
        </w:rPr>
        <w:t>CÓDIGO DE CONDUTA</w:t>
      </w:r>
    </w:p>
    <w:p w14:paraId="3400A5D0" w14:textId="65F021B7" w:rsidR="00526197" w:rsidRDefault="00A932D0" w:rsidP="00A932D0">
      <w:pPr>
        <w:rPr>
          <w:b/>
          <w:bCs/>
          <w:color w:val="007167"/>
        </w:rPr>
      </w:pPr>
      <w:r>
        <w:rPr>
          <w:b/>
          <w:bCs/>
          <w:color w:val="007167"/>
        </w:rPr>
        <w:t>Compliance</w:t>
      </w:r>
      <w:r w:rsidRPr="00A932D0">
        <w:rPr>
          <w:b/>
          <w:bCs/>
          <w:color w:val="007167"/>
        </w:rPr>
        <w:t xml:space="preserve"> no Grupo NETZSCH</w:t>
      </w:r>
    </w:p>
    <w:p w14:paraId="7D8B1534" w14:textId="6FD89038" w:rsidR="00A932D0" w:rsidRPr="00A932D0" w:rsidRDefault="00A932D0" w:rsidP="00A932D0">
      <w:pPr>
        <w:rPr>
          <w:b/>
          <w:bCs/>
        </w:rPr>
      </w:pPr>
      <w:r w:rsidRPr="00A932D0">
        <w:rPr>
          <w:b/>
          <w:bCs/>
        </w:rPr>
        <w:t xml:space="preserve">O que é </w:t>
      </w:r>
      <w:r w:rsidR="00407B96">
        <w:rPr>
          <w:b/>
          <w:bCs/>
        </w:rPr>
        <w:t>c</w:t>
      </w:r>
      <w:r w:rsidRPr="00A932D0">
        <w:rPr>
          <w:b/>
          <w:bCs/>
        </w:rPr>
        <w:t>ompliance?</w:t>
      </w:r>
    </w:p>
    <w:p w14:paraId="5BB969C5" w14:textId="67745401" w:rsidR="00A932D0" w:rsidRDefault="00A932D0" w:rsidP="00A932D0">
      <w:r>
        <w:t>Compliance na NETZSCH significa aderir às diretrizes internas da empresa, bem como às leis nacionais e internacionais. Esperamos que cada colaborador haja de acordo com essas regras - sem exceções ou concessões, mesmo quando estiver sob pressão para atingir metas de curto prazo. As regras internas incluem todas as políticas formalmente definidas dentro da empresa, bem como aquelas estabelecidas por meio da prática cotidiana.</w:t>
      </w:r>
    </w:p>
    <w:p w14:paraId="03293DEB" w14:textId="5858E37F" w:rsidR="00A932D0" w:rsidRPr="00A932D0" w:rsidRDefault="00A932D0" w:rsidP="00A932D0">
      <w:pPr>
        <w:rPr>
          <w:b/>
          <w:bCs/>
        </w:rPr>
      </w:pPr>
      <w:r w:rsidRPr="00A932D0">
        <w:rPr>
          <w:b/>
          <w:bCs/>
        </w:rPr>
        <w:t xml:space="preserve">Por que </w:t>
      </w:r>
      <w:r>
        <w:rPr>
          <w:b/>
          <w:bCs/>
        </w:rPr>
        <w:t>o compliance</w:t>
      </w:r>
      <w:r w:rsidRPr="00A932D0">
        <w:rPr>
          <w:b/>
          <w:bCs/>
        </w:rPr>
        <w:t xml:space="preserve"> é </w:t>
      </w:r>
      <w:r>
        <w:rPr>
          <w:b/>
          <w:bCs/>
        </w:rPr>
        <w:t>i</w:t>
      </w:r>
      <w:r w:rsidRPr="00A932D0">
        <w:rPr>
          <w:b/>
          <w:bCs/>
        </w:rPr>
        <w:t>mportante?</w:t>
      </w:r>
    </w:p>
    <w:p w14:paraId="603905C2" w14:textId="3F72FD96" w:rsidR="00A932D0" w:rsidRDefault="00A932D0" w:rsidP="00A932D0">
      <w:r>
        <w:t xml:space="preserve">Como uma empresa familiar, a NETZSCH está comprometida com os padrões éticos e morais de seus acionistas. A conformidade com os requisitos legais e as políticas internas não é apenas uma obrigação, mas também uma necessidade comercial. Violações podem levar a custos financeiros significativos e danos à reputação. Agir com integridade protege tanto a empresa quanto cada colaborador individualmente. </w:t>
      </w:r>
    </w:p>
    <w:p w14:paraId="2885E9C4" w14:textId="77777777" w:rsidR="00A932D0" w:rsidRDefault="00A932D0" w:rsidP="00A932D0"/>
    <w:p w14:paraId="7C2E74A7" w14:textId="46A29C78" w:rsidR="00A932D0" w:rsidRPr="00A932D0" w:rsidRDefault="00A932D0" w:rsidP="00A932D0">
      <w:pPr>
        <w:rPr>
          <w:b/>
          <w:bCs/>
        </w:rPr>
      </w:pPr>
      <w:r w:rsidRPr="00A932D0">
        <w:rPr>
          <w:b/>
          <w:bCs/>
        </w:rPr>
        <w:t xml:space="preserve">Como alcançamos </w:t>
      </w:r>
      <w:r w:rsidR="00407B96">
        <w:rPr>
          <w:b/>
          <w:bCs/>
        </w:rPr>
        <w:t>o compliance</w:t>
      </w:r>
      <w:r w:rsidRPr="00A932D0">
        <w:rPr>
          <w:b/>
          <w:bCs/>
        </w:rPr>
        <w:t>?</w:t>
      </w:r>
    </w:p>
    <w:p w14:paraId="32DB0F42" w14:textId="3D12F557" w:rsidR="00407B96" w:rsidRDefault="00407B96" w:rsidP="00A932D0">
      <w:r>
        <w:t>O Compliance</w:t>
      </w:r>
      <w:r w:rsidR="00A932D0">
        <w:t xml:space="preserve"> é uma responsabilidade da </w:t>
      </w:r>
      <w:r>
        <w:t>gestão</w:t>
      </w:r>
      <w:r w:rsidR="00A932D0">
        <w:t xml:space="preserve"> da NETZSCH, mas é apoiada por especialistas dentro da organização. Todos os </w:t>
      </w:r>
      <w:r>
        <w:t xml:space="preserve">colaboradores </w:t>
      </w:r>
      <w:r w:rsidR="00A932D0">
        <w:t xml:space="preserve">são obrigados a cumprir nossos regulamentos. São realizadas verificações aleatórias para garantir a adesão. Em caso de dúvida, os funcionários são incentivados a consultar seu supervisor ou o </w:t>
      </w:r>
      <w:r>
        <w:t>responsável pelo compliance</w:t>
      </w:r>
      <w:r w:rsidR="00A932D0">
        <w:t>.</w:t>
      </w:r>
    </w:p>
    <w:p w14:paraId="06B8F516" w14:textId="77777777" w:rsidR="001539D4" w:rsidRDefault="001539D4" w:rsidP="00A932D0"/>
    <w:p w14:paraId="069ED5D3" w14:textId="0E8711D1" w:rsidR="00A932D0" w:rsidRDefault="00407B96" w:rsidP="00A932D0">
      <w:pPr>
        <w:rPr>
          <w:b/>
          <w:bCs/>
          <w:color w:val="007167"/>
        </w:rPr>
      </w:pPr>
      <w:r w:rsidRPr="00407B96">
        <w:rPr>
          <w:b/>
          <w:bCs/>
          <w:color w:val="007167"/>
        </w:rPr>
        <w:t>Nossos Princípios</w:t>
      </w:r>
    </w:p>
    <w:p w14:paraId="3F5E3C60" w14:textId="77777777" w:rsidR="00407B96" w:rsidRPr="00407B96" w:rsidRDefault="00407B96" w:rsidP="00407B96">
      <w:pPr>
        <w:rPr>
          <w:b/>
          <w:bCs/>
        </w:rPr>
      </w:pPr>
      <w:r w:rsidRPr="00407B96">
        <w:rPr>
          <w:b/>
          <w:bCs/>
        </w:rPr>
        <w:t xml:space="preserve">Das promessas às ações </w:t>
      </w:r>
    </w:p>
    <w:p w14:paraId="2A251611" w14:textId="202EBB1A" w:rsidR="00407B96" w:rsidRDefault="00407B96" w:rsidP="00407B96">
      <w:r w:rsidRPr="00407B96">
        <w:t xml:space="preserve"> Nós mantemos nossa palavra. Na NETZSCH, os compromissos levam à ação. Operamos com integridade, garantindo que parceiros e clientes possam confiar em nós.</w:t>
      </w:r>
    </w:p>
    <w:p w14:paraId="0016C6EE" w14:textId="77777777" w:rsidR="00407B96" w:rsidRPr="00EE4A41" w:rsidRDefault="00407B96" w:rsidP="00407B96">
      <w:pPr>
        <w:rPr>
          <w:b/>
          <w:bCs/>
        </w:rPr>
      </w:pPr>
      <w:r w:rsidRPr="00EE4A41">
        <w:rPr>
          <w:b/>
          <w:bCs/>
        </w:rPr>
        <w:t>Responsabilidade</w:t>
      </w:r>
    </w:p>
    <w:p w14:paraId="04DA42F3" w14:textId="77777777" w:rsidR="00407B96" w:rsidRDefault="00407B96" w:rsidP="00407B96">
      <w:r>
        <w:t xml:space="preserve"> </w:t>
      </w:r>
    </w:p>
    <w:p w14:paraId="30FA40BC" w14:textId="5AD7C3AF" w:rsidR="00407B96" w:rsidRDefault="00407B96" w:rsidP="00407B96">
      <w:r>
        <w:t xml:space="preserve">Assumimos a responsabilidade por nossas ações. Espera-se que todos os </w:t>
      </w:r>
      <w:r w:rsidR="00EE4A41">
        <w:t xml:space="preserve">colaboradores </w:t>
      </w:r>
      <w:r>
        <w:t>reflitam sobre suas decisões, tratem os erros abertamente e contribuam para a melhoria contínua.</w:t>
      </w:r>
    </w:p>
    <w:p w14:paraId="7ECF0E3D" w14:textId="77777777" w:rsidR="00C52E43" w:rsidRDefault="00C52E43" w:rsidP="00407B96"/>
    <w:p w14:paraId="0873F235" w14:textId="77777777" w:rsidR="00C52E43" w:rsidRPr="00C52E43" w:rsidRDefault="00C52E43" w:rsidP="00C52E43">
      <w:pPr>
        <w:rPr>
          <w:b/>
          <w:bCs/>
          <w:color w:val="007167"/>
        </w:rPr>
      </w:pPr>
      <w:r w:rsidRPr="00C52E43">
        <w:rPr>
          <w:b/>
          <w:bCs/>
          <w:color w:val="007167"/>
        </w:rPr>
        <w:t>Nosso compromisso com padrões éticos e legais</w:t>
      </w:r>
    </w:p>
    <w:p w14:paraId="1A3AE0FC" w14:textId="631F7E2B" w:rsidR="00C52E43" w:rsidRDefault="00C52E43" w:rsidP="00C52E43">
      <w:r>
        <w:t>Diretrizes para uma conduta responsável</w:t>
      </w:r>
    </w:p>
    <w:p w14:paraId="3C9FB292" w14:textId="77777777" w:rsidR="00C52E43" w:rsidRPr="00C52E43" w:rsidRDefault="00C52E43" w:rsidP="00C52E43">
      <w:pPr>
        <w:pStyle w:val="Listenabsatz"/>
        <w:numPr>
          <w:ilvl w:val="0"/>
          <w:numId w:val="1"/>
        </w:numPr>
        <w:rPr>
          <w:b/>
          <w:bCs/>
        </w:rPr>
      </w:pPr>
      <w:r w:rsidRPr="00C52E43">
        <w:rPr>
          <w:b/>
          <w:bCs/>
        </w:rPr>
        <w:t>Responsabilidade individual</w:t>
      </w:r>
    </w:p>
    <w:p w14:paraId="6822C61D" w14:textId="559267F3" w:rsidR="00C52E43" w:rsidRDefault="00C52E43" w:rsidP="00C52E43">
      <w:r>
        <w:lastRenderedPageBreak/>
        <w:t>Cada funcionário é pessoalmente responsável por garantir que seu trabalho esteja alinhado com os requisitos legais e as políticas da empresa. Isso significa tomar decisões cuidadosas e ponderadas para proteger a reputação e o sucesso a longo prazo da NETZSCH.</w:t>
      </w:r>
    </w:p>
    <w:p w14:paraId="5A5E9030" w14:textId="77777777" w:rsidR="00423AFA" w:rsidRPr="00423AFA" w:rsidRDefault="00423AFA" w:rsidP="00423AFA">
      <w:pPr>
        <w:pStyle w:val="Listenabsatz"/>
        <w:numPr>
          <w:ilvl w:val="0"/>
          <w:numId w:val="1"/>
        </w:numPr>
        <w:rPr>
          <w:b/>
          <w:bCs/>
        </w:rPr>
      </w:pPr>
      <w:r w:rsidRPr="00423AFA">
        <w:rPr>
          <w:b/>
          <w:bCs/>
        </w:rPr>
        <w:t>Práticas Éticas de Negócios</w:t>
      </w:r>
    </w:p>
    <w:p w14:paraId="61F5BDF1" w14:textId="78CE6C22" w:rsidR="00423AFA" w:rsidRDefault="00423AFA" w:rsidP="00423AFA">
      <w:r>
        <w:t>A NETZSCH rejeita corrupção, fraude e qualquer forma de conduta ilegal. Concorrência justa, integridade em todas as parcerias e respeito pelos outros são os pilares de nosso sucesso.</w:t>
      </w:r>
    </w:p>
    <w:p w14:paraId="6C2EF98C" w14:textId="77777777" w:rsidR="00423AFA" w:rsidRPr="00423AFA" w:rsidRDefault="00423AFA" w:rsidP="00423AFA">
      <w:pPr>
        <w:pStyle w:val="Listenabsatz"/>
        <w:numPr>
          <w:ilvl w:val="0"/>
          <w:numId w:val="1"/>
        </w:numPr>
        <w:rPr>
          <w:b/>
          <w:bCs/>
        </w:rPr>
      </w:pPr>
      <w:r w:rsidRPr="00423AFA">
        <w:rPr>
          <w:b/>
          <w:bCs/>
        </w:rPr>
        <w:t>Respeito aos direitos humanos e à sustentabilidade</w:t>
      </w:r>
    </w:p>
    <w:p w14:paraId="10DFF16A" w14:textId="612865F2" w:rsidR="00423AFA" w:rsidRDefault="00423AFA" w:rsidP="00423AFA">
      <w:r>
        <w:t>O respeito aos direitos humanos e às práticas sustentáveis são fundamentais para os nossos valores. Garantimos condições de trabalho justas e levamos a sério nossas responsabilidades ambientais e sociais, tanto em nossa empresa quanto em toda a nossa cadeia de suprimentos.</w:t>
      </w:r>
    </w:p>
    <w:p w14:paraId="4B88F123" w14:textId="7F3C2BAA" w:rsidR="00423AFA" w:rsidRPr="00423AFA" w:rsidRDefault="00423AFA" w:rsidP="00423AFA">
      <w:pPr>
        <w:pStyle w:val="Listenabsatz"/>
        <w:numPr>
          <w:ilvl w:val="0"/>
          <w:numId w:val="1"/>
        </w:numPr>
        <w:rPr>
          <w:b/>
          <w:bCs/>
        </w:rPr>
      </w:pPr>
      <w:r w:rsidRPr="00423AFA">
        <w:rPr>
          <w:b/>
          <w:bCs/>
        </w:rPr>
        <w:t xml:space="preserve">Políticas </w:t>
      </w:r>
      <w:r>
        <w:rPr>
          <w:b/>
          <w:bCs/>
        </w:rPr>
        <w:t>Obrigatórias</w:t>
      </w:r>
    </w:p>
    <w:p w14:paraId="3E539805" w14:textId="18CEA0F1" w:rsidR="00423AFA" w:rsidRDefault="00423AFA" w:rsidP="00423AFA">
      <w:r>
        <w:t>Estabelecemos diretrizes obrigatórias para garantir um comportamento ético e legalmente compatível em todas as áreas do Grupo NETZSCH. Essas políticas protegem nossos negócios e nossos colaboradores.</w:t>
      </w:r>
    </w:p>
    <w:p w14:paraId="07E6B965" w14:textId="77777777" w:rsidR="00423AFA" w:rsidRPr="00423AFA" w:rsidRDefault="00423AFA" w:rsidP="00423AFA">
      <w:pPr>
        <w:pStyle w:val="Listenabsatz"/>
        <w:numPr>
          <w:ilvl w:val="0"/>
          <w:numId w:val="1"/>
        </w:numPr>
        <w:rPr>
          <w:b/>
          <w:bCs/>
        </w:rPr>
      </w:pPr>
      <w:r w:rsidRPr="00423AFA">
        <w:rPr>
          <w:b/>
          <w:bCs/>
        </w:rPr>
        <w:t>Resposta orientada para a ação</w:t>
      </w:r>
    </w:p>
    <w:p w14:paraId="12CE41C2" w14:textId="3962FB6F" w:rsidR="00423AFA" w:rsidRDefault="00423AFA" w:rsidP="00423AFA">
      <w:r>
        <w:t>As denúncias de má conduta são levadas a sério. Todos os envios feitos por meio de nosso sistema de denúncias são acompanhados, e as ações apropriadas são tomadas para evitar futuras violações.</w:t>
      </w:r>
    </w:p>
    <w:p w14:paraId="5C600775" w14:textId="77777777" w:rsidR="00423AFA" w:rsidRPr="00423AFA" w:rsidRDefault="00423AFA" w:rsidP="00423AFA">
      <w:pPr>
        <w:pStyle w:val="Listenabsatz"/>
        <w:numPr>
          <w:ilvl w:val="0"/>
          <w:numId w:val="1"/>
        </w:numPr>
        <w:rPr>
          <w:b/>
          <w:bCs/>
        </w:rPr>
      </w:pPr>
      <w:r w:rsidRPr="00423AFA">
        <w:rPr>
          <w:b/>
          <w:bCs/>
        </w:rPr>
        <w:t>Integridade nas parcerias</w:t>
      </w:r>
    </w:p>
    <w:p w14:paraId="1749C531" w14:textId="6B0AEB51" w:rsidR="00423AFA" w:rsidRDefault="00423AFA" w:rsidP="00423AFA">
      <w:r>
        <w:t>Esperamos que nossos fornecedores e parceiros de negócios compartilhem nossos valores e cumpram nossos padrões. Nosso “Código de Conduta para Fornecedores e Parceiros de Negócios” define as expectativas que defendemos.</w:t>
      </w:r>
    </w:p>
    <w:p w14:paraId="28DB7796" w14:textId="77777777" w:rsidR="00423AFA" w:rsidRDefault="00423AFA" w:rsidP="00423AFA"/>
    <w:p w14:paraId="18AC8BE6" w14:textId="7A6573A9" w:rsidR="00423AFA" w:rsidRDefault="00423AFA" w:rsidP="00423AFA">
      <w:pPr>
        <w:rPr>
          <w:b/>
          <w:bCs/>
          <w:color w:val="007167"/>
        </w:rPr>
      </w:pPr>
      <w:r w:rsidRPr="00423AFA">
        <w:rPr>
          <w:b/>
          <w:bCs/>
          <w:color w:val="007167"/>
        </w:rPr>
        <w:t xml:space="preserve">Direitos humanos e </w:t>
      </w:r>
      <w:r w:rsidRPr="00423AFA">
        <w:rPr>
          <w:b/>
          <w:bCs/>
          <w:i/>
          <w:iCs/>
          <w:color w:val="007167"/>
        </w:rPr>
        <w:t>due diligence</w:t>
      </w:r>
      <w:r>
        <w:rPr>
          <w:b/>
          <w:bCs/>
          <w:color w:val="007167"/>
        </w:rPr>
        <w:t xml:space="preserve"> </w:t>
      </w:r>
      <w:r w:rsidRPr="00423AFA">
        <w:rPr>
          <w:b/>
          <w:bCs/>
          <w:color w:val="007167"/>
        </w:rPr>
        <w:t>na cadeia de suprimentos</w:t>
      </w:r>
    </w:p>
    <w:p w14:paraId="77FF0B9E" w14:textId="77777777" w:rsidR="00423AFA" w:rsidRPr="00423AFA" w:rsidRDefault="00423AFA" w:rsidP="00423AFA">
      <w:r w:rsidRPr="00423AFA">
        <w:t>Estamos convencidos de que o sucesso comercial só é possível a longo prazo se os direitos humanos forem reconhecidos e protegidos.</w:t>
      </w:r>
    </w:p>
    <w:p w14:paraId="0E6DB525" w14:textId="77777777" w:rsidR="00423AFA" w:rsidRPr="00423AFA" w:rsidRDefault="00423AFA" w:rsidP="00423AFA"/>
    <w:p w14:paraId="21CB12F3" w14:textId="43104B4A" w:rsidR="00423AFA" w:rsidRPr="00423AFA" w:rsidRDefault="00423AFA" w:rsidP="00423AFA">
      <w:r w:rsidRPr="00423AFA">
        <w:t>Portanto, consideramos que é nossa responsabilidade respeitar</w:t>
      </w:r>
      <w:r>
        <w:t xml:space="preserve"> e evitar violações d</w:t>
      </w:r>
      <w:r w:rsidRPr="00423AFA">
        <w:t>os direitos humanos.</w:t>
      </w:r>
    </w:p>
    <w:p w14:paraId="06A2CB33" w14:textId="77777777" w:rsidR="00423AFA" w:rsidRPr="00423AFA" w:rsidRDefault="00423AFA" w:rsidP="00423AFA"/>
    <w:p w14:paraId="0E2B4258" w14:textId="2E5A0B9E" w:rsidR="00423AFA" w:rsidRDefault="00423AFA" w:rsidP="00423AFA">
      <w:r w:rsidRPr="00423AFA">
        <w:t>Nosso entendimento de conduta responsável abrange nossas próprias atividades comerciais, nossos relacionamentos comerciais e os efeitos indiretos de nossas ações.</w:t>
      </w:r>
    </w:p>
    <w:p w14:paraId="2650EA9C" w14:textId="77777777" w:rsidR="00423AFA" w:rsidRDefault="00423AFA" w:rsidP="00423AFA"/>
    <w:p w14:paraId="4015606D" w14:textId="56575DE1" w:rsidR="00423AFA" w:rsidRDefault="00423AFA" w:rsidP="00423AFA">
      <w:pPr>
        <w:rPr>
          <w:b/>
          <w:bCs/>
          <w:color w:val="007167"/>
        </w:rPr>
      </w:pPr>
      <w:r w:rsidRPr="00423AFA">
        <w:rPr>
          <w:b/>
          <w:bCs/>
          <w:color w:val="007167"/>
        </w:rPr>
        <w:t>Plataforma de denúncias</w:t>
      </w:r>
      <w:r>
        <w:rPr>
          <w:b/>
          <w:bCs/>
          <w:color w:val="007167"/>
        </w:rPr>
        <w:t xml:space="preserve"> – Estamos ouvindo</w:t>
      </w:r>
    </w:p>
    <w:p w14:paraId="13BA7B96" w14:textId="77777777" w:rsidR="00423AFA" w:rsidRDefault="00423AFA" w:rsidP="00423AFA">
      <w:pPr>
        <w:rPr>
          <w:b/>
          <w:bCs/>
          <w:color w:val="007167"/>
        </w:rPr>
      </w:pPr>
    </w:p>
    <w:p w14:paraId="7E6A3D01" w14:textId="77777777" w:rsidR="00423AFA" w:rsidRPr="00423AFA" w:rsidRDefault="00423AFA" w:rsidP="00423AFA">
      <w:pPr>
        <w:rPr>
          <w:b/>
          <w:bCs/>
        </w:rPr>
      </w:pPr>
      <w:r w:rsidRPr="00423AFA">
        <w:rPr>
          <w:b/>
          <w:bCs/>
        </w:rPr>
        <w:t>Denúncia de Má Conduta</w:t>
      </w:r>
    </w:p>
    <w:p w14:paraId="13C71908" w14:textId="79E7CA46" w:rsidR="00423AFA" w:rsidRPr="00423AFA" w:rsidRDefault="00423AFA" w:rsidP="00423AFA">
      <w:r w:rsidRPr="00423AFA">
        <w:t xml:space="preserve">A NETZSCH incentiva </w:t>
      </w:r>
      <w:r>
        <w:t>colaboradores</w:t>
      </w:r>
      <w:r w:rsidRPr="00423AFA">
        <w:t>, clientes, fornecedores e terceiros a denunciar qualquer suspeita de violação legal ou do Código de Conduta. Isso também inclui preocupações relacionadas a direitos humanos ou questões ambientais</w:t>
      </w:r>
      <w:r>
        <w:t>.</w:t>
      </w:r>
    </w:p>
    <w:p w14:paraId="58180C3D" w14:textId="77777777" w:rsidR="00423AFA" w:rsidRPr="00423AFA" w:rsidRDefault="00423AFA" w:rsidP="00423AFA"/>
    <w:p w14:paraId="2D9A732D" w14:textId="77777777" w:rsidR="00423AFA" w:rsidRPr="00423AFA" w:rsidRDefault="00423AFA" w:rsidP="00423AFA">
      <w:pPr>
        <w:rPr>
          <w:b/>
          <w:bCs/>
        </w:rPr>
      </w:pPr>
      <w:r w:rsidRPr="00423AFA">
        <w:rPr>
          <w:b/>
          <w:bCs/>
        </w:rPr>
        <w:t>Denúncias confidenciais e seguras</w:t>
      </w:r>
    </w:p>
    <w:p w14:paraId="7AE23222" w14:textId="77777777" w:rsidR="00423AFA" w:rsidRPr="00423AFA" w:rsidRDefault="00423AFA" w:rsidP="00423AFA">
      <w:r w:rsidRPr="00423AFA">
        <w:t>As denúncias podem ser feitas de forma confidencial, e o anonimato é garantido, se desejado. Tratamos cada relatório com o máximo cuidado, garantindo que todas as informações sejam tratadas de acordo com as leis de proteção de dados aplicáveis. Cada denúncia nos ajuda a identificar problemas e a resolvê-los rapidamente.</w:t>
      </w:r>
    </w:p>
    <w:p w14:paraId="79963C86" w14:textId="77777777" w:rsidR="0062661B" w:rsidRDefault="0062661B" w:rsidP="00423AFA"/>
    <w:p w14:paraId="03833A67" w14:textId="386B075B" w:rsidR="0062661B" w:rsidRDefault="0062661B" w:rsidP="00423AFA">
      <w:r w:rsidRPr="0062661B">
        <w:t>Além disso, os denunciantes internos e externos podem entrar em contato com o Group</w:t>
      </w:r>
      <w:r>
        <w:t xml:space="preserve"> de</w:t>
      </w:r>
      <w:r w:rsidRPr="0062661B">
        <w:t xml:space="preserve"> Compliance (como um órgão independente) da seguinte forma:</w:t>
      </w:r>
    </w:p>
    <w:p w14:paraId="67EEBC51" w14:textId="18697F16" w:rsidR="0062661B" w:rsidRDefault="0062661B" w:rsidP="00423AFA">
      <w:r w:rsidRPr="0062661B">
        <w:t>Detalhes de contato NETZSCH Group Compliance:</w:t>
      </w:r>
    </w:p>
    <w:p w14:paraId="1F31FDD4" w14:textId="55D18BC1" w:rsidR="0062661B" w:rsidRDefault="0062661B" w:rsidP="00423AFA">
      <w:r>
        <w:rPr>
          <w:noProof/>
        </w:rPr>
        <w:drawing>
          <wp:inline distT="0" distB="0" distL="0" distR="0" wp14:anchorId="62EB57E9" wp14:editId="79986C98">
            <wp:extent cx="4857750" cy="1876425"/>
            <wp:effectExtent l="0" t="0" r="0" b="9525"/>
            <wp:docPr id="137510036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100362" name=""/>
                    <pic:cNvPicPr/>
                  </pic:nvPicPr>
                  <pic:blipFill>
                    <a:blip r:embed="rId5"/>
                    <a:stretch>
                      <a:fillRect/>
                    </a:stretch>
                  </pic:blipFill>
                  <pic:spPr>
                    <a:xfrm>
                      <a:off x="0" y="0"/>
                      <a:ext cx="4857750" cy="1876425"/>
                    </a:xfrm>
                    <a:prstGeom prst="rect">
                      <a:avLst/>
                    </a:prstGeom>
                  </pic:spPr>
                </pic:pic>
              </a:graphicData>
            </a:graphic>
          </wp:inline>
        </w:drawing>
      </w:r>
    </w:p>
    <w:p w14:paraId="2CAE1C1E" w14:textId="77777777" w:rsidR="0062661B" w:rsidRDefault="0062661B" w:rsidP="00423AFA"/>
    <w:p w14:paraId="02AA6918" w14:textId="6134A4E3" w:rsidR="0062661B" w:rsidRDefault="0062661B" w:rsidP="00423AFA">
      <w:r w:rsidRPr="0062661B">
        <w:t>Além dos canais de denúncia internos, você também tem a opção de entrar em contato com as autoridades externas responsáveis pelo respectivo caso individual (por exemplo, o Departamento Federal de Justiça) com sua reclamação ou denúncia.</w:t>
      </w:r>
    </w:p>
    <w:p w14:paraId="21F1382A" w14:textId="77777777" w:rsidR="0062661B" w:rsidRDefault="0062661B" w:rsidP="00423AFA"/>
    <w:p w14:paraId="21573A9D" w14:textId="77777777" w:rsidR="0062661B" w:rsidRPr="001539D4" w:rsidRDefault="0062661B" w:rsidP="0062661B">
      <w:pPr>
        <w:rPr>
          <w:b/>
          <w:bCs/>
        </w:rPr>
      </w:pPr>
      <w:r w:rsidRPr="001539D4">
        <w:rPr>
          <w:b/>
          <w:bCs/>
        </w:rPr>
        <w:t>Plataforma de denúncias | Estamos ouvindo | Acesse aqui</w:t>
      </w:r>
    </w:p>
    <w:p w14:paraId="2A705BDF" w14:textId="49C6EDA0" w:rsidR="0062661B" w:rsidRDefault="001539D4" w:rsidP="0062661B">
      <w:hyperlink r:id="rId6" w:history="1">
        <w:r w:rsidRPr="001539D4">
          <w:rPr>
            <w:rStyle w:val="Hyperlink"/>
          </w:rPr>
          <w:t>Sistema de denúncia de irregularidades</w:t>
        </w:r>
      </w:hyperlink>
    </w:p>
    <w:p w14:paraId="484F32A8" w14:textId="77777777" w:rsidR="0062661B" w:rsidRPr="00423AFA" w:rsidRDefault="0062661B" w:rsidP="00423AFA"/>
    <w:sectPr w:rsidR="0062661B" w:rsidRPr="00423A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6A6BE3"/>
    <w:multiLevelType w:val="hybridMultilevel"/>
    <w:tmpl w:val="0E32F5C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410156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2D0"/>
    <w:rsid w:val="001539D4"/>
    <w:rsid w:val="00407B96"/>
    <w:rsid w:val="00423AFA"/>
    <w:rsid w:val="004453A4"/>
    <w:rsid w:val="00526197"/>
    <w:rsid w:val="00533884"/>
    <w:rsid w:val="00580533"/>
    <w:rsid w:val="0062661B"/>
    <w:rsid w:val="00A932D0"/>
    <w:rsid w:val="00AD7201"/>
    <w:rsid w:val="00C52E43"/>
    <w:rsid w:val="00CB05DF"/>
    <w:rsid w:val="00EE4A41"/>
    <w:rsid w:val="00F85A40"/>
    <w:rsid w:val="00FB77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B1B92"/>
  <w15:chartTrackingRefBased/>
  <w15:docId w15:val="{FE211B06-D17B-427F-A384-739D544E8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661B"/>
  </w:style>
  <w:style w:type="paragraph" w:styleId="berschrift1">
    <w:name w:val="heading 1"/>
    <w:basedOn w:val="Standard"/>
    <w:next w:val="Standard"/>
    <w:link w:val="berschrift1Zchn"/>
    <w:uiPriority w:val="9"/>
    <w:qFormat/>
    <w:rsid w:val="00A932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932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932D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932D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932D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932D0"/>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932D0"/>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932D0"/>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932D0"/>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932D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932D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932D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932D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932D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932D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932D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932D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932D0"/>
    <w:rPr>
      <w:rFonts w:eastAsiaTheme="majorEastAsia" w:cstheme="majorBidi"/>
      <w:color w:val="272727" w:themeColor="text1" w:themeTint="D8"/>
    </w:rPr>
  </w:style>
  <w:style w:type="paragraph" w:styleId="Titel">
    <w:name w:val="Title"/>
    <w:basedOn w:val="Standard"/>
    <w:next w:val="Standard"/>
    <w:link w:val="TitelZchn"/>
    <w:uiPriority w:val="10"/>
    <w:qFormat/>
    <w:rsid w:val="00A932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932D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932D0"/>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932D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932D0"/>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932D0"/>
    <w:rPr>
      <w:i/>
      <w:iCs/>
      <w:color w:val="404040" w:themeColor="text1" w:themeTint="BF"/>
    </w:rPr>
  </w:style>
  <w:style w:type="paragraph" w:styleId="Listenabsatz">
    <w:name w:val="List Paragraph"/>
    <w:basedOn w:val="Standard"/>
    <w:uiPriority w:val="34"/>
    <w:qFormat/>
    <w:rsid w:val="00A932D0"/>
    <w:pPr>
      <w:ind w:left="720"/>
      <w:contextualSpacing/>
    </w:pPr>
  </w:style>
  <w:style w:type="character" w:styleId="IntensiveHervorhebung">
    <w:name w:val="Intense Emphasis"/>
    <w:basedOn w:val="Absatz-Standardschriftart"/>
    <w:uiPriority w:val="21"/>
    <w:qFormat/>
    <w:rsid w:val="00A932D0"/>
    <w:rPr>
      <w:i/>
      <w:iCs/>
      <w:color w:val="0F4761" w:themeColor="accent1" w:themeShade="BF"/>
    </w:rPr>
  </w:style>
  <w:style w:type="paragraph" w:styleId="IntensivesZitat">
    <w:name w:val="Intense Quote"/>
    <w:basedOn w:val="Standard"/>
    <w:next w:val="Standard"/>
    <w:link w:val="IntensivesZitatZchn"/>
    <w:uiPriority w:val="30"/>
    <w:qFormat/>
    <w:rsid w:val="00A932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932D0"/>
    <w:rPr>
      <w:i/>
      <w:iCs/>
      <w:color w:val="0F4761" w:themeColor="accent1" w:themeShade="BF"/>
    </w:rPr>
  </w:style>
  <w:style w:type="character" w:styleId="IntensiverVerweis">
    <w:name w:val="Intense Reference"/>
    <w:basedOn w:val="Absatz-Standardschriftart"/>
    <w:uiPriority w:val="32"/>
    <w:qFormat/>
    <w:rsid w:val="00A932D0"/>
    <w:rPr>
      <w:b/>
      <w:bCs/>
      <w:smallCaps/>
      <w:color w:val="0F4761" w:themeColor="accent1" w:themeShade="BF"/>
      <w:spacing w:val="5"/>
    </w:rPr>
  </w:style>
  <w:style w:type="character" w:styleId="Hyperlink">
    <w:name w:val="Hyperlink"/>
    <w:basedOn w:val="Absatz-Standardschriftart"/>
    <w:uiPriority w:val="99"/>
    <w:unhideWhenUsed/>
    <w:rsid w:val="001539D4"/>
    <w:rPr>
      <w:color w:val="467886" w:themeColor="hyperlink"/>
      <w:u w:val="single"/>
    </w:rPr>
  </w:style>
  <w:style w:type="character" w:styleId="NichtaufgelsteErwhnung">
    <w:name w:val="Unresolved Mention"/>
    <w:basedOn w:val="Absatz-Standardschriftart"/>
    <w:uiPriority w:val="99"/>
    <w:semiHidden/>
    <w:unhideWhenUsed/>
    <w:rsid w:val="00153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tzsch.reporting-channe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4333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Vitória Probst, Joana</dc:creator>
  <cp:keywords/>
  <dc:description/>
  <cp:lastModifiedBy>Niebling, Nikola</cp:lastModifiedBy>
  <cp:revision>2</cp:revision>
  <dcterms:created xsi:type="dcterms:W3CDTF">2025-04-02T12:38:00Z</dcterms:created>
  <dcterms:modified xsi:type="dcterms:W3CDTF">2025-04-02T12:38:00Z</dcterms:modified>
</cp:coreProperties>
</file>